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BB" w:rsidRPr="00FE1933" w:rsidRDefault="008665BB" w:rsidP="008665BB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E1933">
        <w:rPr>
          <w:rFonts w:ascii="Times New Roman" w:hAnsi="Times New Roman" w:cs="Times New Roman"/>
          <w:b/>
          <w:sz w:val="20"/>
          <w:szCs w:val="20"/>
          <w:lang w:val="uk-UA"/>
        </w:rPr>
        <w:t xml:space="preserve">ОБҐРУНТУВАННЯ </w:t>
      </w:r>
    </w:p>
    <w:p w:rsidR="003B0AB0" w:rsidRPr="00FE1933" w:rsidRDefault="008665BB" w:rsidP="008665BB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FE1933">
        <w:rPr>
          <w:rFonts w:ascii="Times New Roman" w:hAnsi="Times New Roman" w:cs="Times New Roman"/>
          <w:b/>
          <w:sz w:val="20"/>
          <w:szCs w:val="20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FE1933" w:rsidRDefault="002E5137" w:rsidP="008D45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0"/>
          <w:szCs w:val="20"/>
          <w:lang w:val="uk-UA"/>
        </w:rPr>
      </w:pPr>
      <w:r w:rsidRPr="00FE1933">
        <w:rPr>
          <w:rStyle w:val="a3"/>
          <w:rFonts w:ascii="Times New Roman" w:hAnsi="Times New Roman" w:cs="Times New Roman"/>
          <w:bCs/>
          <w:i w:val="0"/>
          <w:sz w:val="20"/>
          <w:szCs w:val="20"/>
          <w:lang w:val="uk-UA"/>
        </w:rPr>
        <w:t>(</w:t>
      </w:r>
      <w:r w:rsidR="008665BB" w:rsidRPr="00FE1933">
        <w:rPr>
          <w:rStyle w:val="a3"/>
          <w:rFonts w:ascii="Times New Roman" w:hAnsi="Times New Roman" w:cs="Times New Roman"/>
          <w:bCs/>
          <w:i w:val="0"/>
          <w:sz w:val="20"/>
          <w:szCs w:val="20"/>
          <w:lang w:val="uk-UA"/>
        </w:rPr>
        <w:t>відповідно до постанови Кабінету Міністрів України від 11.10.2016</w:t>
      </w:r>
      <w:r w:rsidR="00B2747A" w:rsidRPr="00FE1933">
        <w:rPr>
          <w:rStyle w:val="a3"/>
          <w:rFonts w:ascii="Times New Roman" w:hAnsi="Times New Roman" w:cs="Times New Roman"/>
          <w:bCs/>
          <w:i w:val="0"/>
          <w:sz w:val="20"/>
          <w:szCs w:val="20"/>
          <w:lang w:val="uk-UA"/>
        </w:rPr>
        <w:t xml:space="preserve"> </w:t>
      </w:r>
      <w:r w:rsidR="008665BB" w:rsidRPr="00FE1933">
        <w:rPr>
          <w:rStyle w:val="a3"/>
          <w:rFonts w:ascii="Times New Roman" w:hAnsi="Times New Roman" w:cs="Times New Roman"/>
          <w:bCs/>
          <w:i w:val="0"/>
          <w:sz w:val="20"/>
          <w:szCs w:val="20"/>
          <w:lang w:val="uk-UA"/>
        </w:rPr>
        <w:t>№ 710 «Про ефективне використання державних коштів»</w:t>
      </w:r>
      <w:r w:rsidR="00B2747A" w:rsidRPr="00FE1933">
        <w:rPr>
          <w:rStyle w:val="a3"/>
          <w:rFonts w:ascii="Times New Roman" w:hAnsi="Times New Roman" w:cs="Times New Roman"/>
          <w:bCs/>
          <w:i w:val="0"/>
          <w:sz w:val="20"/>
          <w:szCs w:val="20"/>
          <w:lang w:val="uk-UA"/>
        </w:rPr>
        <w:t xml:space="preserve">                </w:t>
      </w:r>
    </w:p>
    <w:p w:rsidR="008665BB" w:rsidRDefault="008665BB" w:rsidP="008D45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i w:val="0"/>
          <w:sz w:val="20"/>
          <w:szCs w:val="20"/>
          <w:lang w:val="uk-UA"/>
        </w:rPr>
      </w:pPr>
      <w:r w:rsidRPr="00FE1933">
        <w:rPr>
          <w:rStyle w:val="a3"/>
          <w:rFonts w:ascii="Times New Roman" w:hAnsi="Times New Roman" w:cs="Times New Roman"/>
          <w:bCs/>
          <w:i w:val="0"/>
          <w:sz w:val="20"/>
          <w:szCs w:val="20"/>
          <w:lang w:val="uk-UA"/>
        </w:rPr>
        <w:t xml:space="preserve"> (зі змінами)</w:t>
      </w:r>
    </w:p>
    <w:p w:rsidR="008D4592" w:rsidRPr="00FE1933" w:rsidRDefault="008D4592" w:rsidP="008D459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0"/>
          <w:szCs w:val="20"/>
          <w:lang w:val="uk-UA"/>
        </w:rPr>
      </w:pPr>
    </w:p>
    <w:tbl>
      <w:tblPr>
        <w:tblStyle w:val="a4"/>
        <w:tblW w:w="14176" w:type="dxa"/>
        <w:tblInd w:w="-289" w:type="dxa"/>
        <w:tblLook w:val="04A0" w:firstRow="1" w:lastRow="0" w:firstColumn="1" w:lastColumn="0" w:noHBand="0" w:noVBand="1"/>
      </w:tblPr>
      <w:tblGrid>
        <w:gridCol w:w="2648"/>
        <w:gridCol w:w="1630"/>
        <w:gridCol w:w="1561"/>
        <w:gridCol w:w="4510"/>
        <w:gridCol w:w="3827"/>
      </w:tblGrid>
      <w:tr w:rsidR="008167CE" w:rsidRPr="00FE1933" w:rsidTr="00B04912">
        <w:tc>
          <w:tcPr>
            <w:tcW w:w="2648" w:type="dxa"/>
          </w:tcPr>
          <w:p w:rsidR="008167CE" w:rsidRPr="00FE1933" w:rsidRDefault="008167CE" w:rsidP="0081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b/>
                <w:iCs/>
                <w:sz w:val="20"/>
                <w:szCs w:val="20"/>
                <w:lang w:val="uk-UA"/>
              </w:rPr>
              <w:t xml:space="preserve">Найменування </w:t>
            </w:r>
            <w:r w:rsidRPr="00FE19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предмету закупівлі, код ДК 021:2015</w:t>
            </w:r>
          </w:p>
        </w:tc>
        <w:tc>
          <w:tcPr>
            <w:tcW w:w="1630" w:type="dxa"/>
          </w:tcPr>
          <w:p w:rsidR="008167CE" w:rsidRPr="00FE1933" w:rsidRDefault="008167CE" w:rsidP="00866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Розмір бюджетного призначення</w:t>
            </w:r>
          </w:p>
        </w:tc>
        <w:tc>
          <w:tcPr>
            <w:tcW w:w="1561" w:type="dxa"/>
          </w:tcPr>
          <w:p w:rsidR="008167CE" w:rsidRPr="00FE1933" w:rsidRDefault="008167CE" w:rsidP="0081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Очікувана вартість предмета закупівлі</w:t>
            </w:r>
          </w:p>
        </w:tc>
        <w:tc>
          <w:tcPr>
            <w:tcW w:w="4510" w:type="dxa"/>
          </w:tcPr>
          <w:p w:rsidR="008167CE" w:rsidRPr="00FE1933" w:rsidRDefault="008167CE" w:rsidP="00866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827" w:type="dxa"/>
          </w:tcPr>
          <w:p w:rsidR="008167CE" w:rsidRPr="00FE1933" w:rsidRDefault="008167CE" w:rsidP="008665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</w:tr>
      <w:tr w:rsidR="008167CE" w:rsidRPr="00FE1933" w:rsidTr="00B04912">
        <w:tc>
          <w:tcPr>
            <w:tcW w:w="2648" w:type="dxa"/>
          </w:tcPr>
          <w:p w:rsidR="00073B86" w:rsidRPr="00FE1933" w:rsidRDefault="003173D3" w:rsidP="00FE193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7F002D">
              <w:rPr>
                <w:rFonts w:ascii="Times New Roman" w:hAnsi="Times New Roman"/>
                <w:lang w:val="uk-UA"/>
              </w:rPr>
              <w:t>Послуги з проведення фахових досліджень під час відвідувань місць несвободи в рамках реалізації національного превентивного механізму /73110000-6/</w:t>
            </w:r>
          </w:p>
        </w:tc>
        <w:tc>
          <w:tcPr>
            <w:tcW w:w="1630" w:type="dxa"/>
          </w:tcPr>
          <w:p w:rsidR="008167CE" w:rsidRPr="00EA7741" w:rsidRDefault="00522768" w:rsidP="00B819A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A7741">
              <w:rPr>
                <w:rFonts w:ascii="Times New Roman" w:hAnsi="Times New Roman" w:cs="Times New Roman"/>
                <w:lang w:val="uk-UA"/>
              </w:rPr>
              <w:t>269 </w:t>
            </w:r>
            <w:bookmarkStart w:id="0" w:name="_GoBack"/>
            <w:bookmarkEnd w:id="0"/>
            <w:r w:rsidRPr="00EA7741">
              <w:rPr>
                <w:rFonts w:ascii="Times New Roman" w:hAnsi="Times New Roman" w:cs="Times New Roman"/>
                <w:lang w:val="uk-UA"/>
              </w:rPr>
              <w:t xml:space="preserve">985,48 </w:t>
            </w:r>
          </w:p>
        </w:tc>
        <w:tc>
          <w:tcPr>
            <w:tcW w:w="1561" w:type="dxa"/>
          </w:tcPr>
          <w:p w:rsidR="008167CE" w:rsidRPr="00EA7741" w:rsidRDefault="00522768" w:rsidP="00FE19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A7741">
              <w:rPr>
                <w:rFonts w:ascii="Times New Roman" w:hAnsi="Times New Roman" w:cs="Times New Roman"/>
                <w:lang w:val="uk-UA"/>
              </w:rPr>
              <w:t xml:space="preserve">269 985,48 </w:t>
            </w:r>
          </w:p>
        </w:tc>
        <w:tc>
          <w:tcPr>
            <w:tcW w:w="4510" w:type="dxa"/>
          </w:tcPr>
          <w:p w:rsidR="008167CE" w:rsidRPr="00FE1933" w:rsidRDefault="00F53135" w:rsidP="00FE19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Розмір бюджетного призначення визначений в межах видатків, передбачених кошторисом на </w:t>
            </w:r>
            <w:r w:rsidR="00FE1933"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</w:t>
            </w: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3173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 Секретаріату Уповноваженого Верховної Ради України з прав людини за бюджетною програмою </w:t>
            </w:r>
            <w:r w:rsidR="009E7559"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КПКВК 5991020 «Заходи з реалізації національного превентивного механізму» </w:t>
            </w: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 </w:t>
            </w:r>
            <w:r w:rsidR="009E7559"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КЕКВ 2240 «Оплата послуг (крім комунальних)»</w:t>
            </w: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="009E7559"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Розрахунок очікуваної вартості послуг методом порівняння ринкових цін здійснено відповідно до Методики визначення очікуваної вартості предмета закупівлі, затвердженої наказом</w:t>
            </w: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5D5267"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Секретаріату Уповноваженого Верховної Ради України з прав людини 30</w:t>
            </w: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</w:t>
            </w:r>
            <w:r w:rsidR="005D5267"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истопада 2020 року </w:t>
            </w:r>
            <w:r w:rsidR="007B26C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</w:t>
            </w:r>
            <w:r w:rsidR="005D5267"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154.15/20</w:t>
            </w: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:rsidR="001305EB" w:rsidRPr="00FE1933" w:rsidRDefault="001305EB" w:rsidP="00FE19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305EB" w:rsidRPr="00FE1933" w:rsidRDefault="001305EB" w:rsidP="00FE19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5B66EC" w:rsidRDefault="005B66EC" w:rsidP="00FE19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Департаментом з </w:t>
            </w:r>
            <w:r w:rsidR="004E1BA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питань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реалізації національного превентивного механізму </w:t>
            </w:r>
            <w:r w:rsidR="003173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 кінця 2026</w:t>
            </w:r>
            <w:r w:rsidR="00091D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року планується </w:t>
            </w:r>
            <w:r w:rsidR="00B440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проведення відвідувань місць несвободи на території України, зокрема таких, </w:t>
            </w:r>
            <w:r w:rsidR="00BB14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 утримуються особи </w:t>
            </w:r>
            <w:r w:rsidR="00191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психічними та поведінковими </w:t>
            </w:r>
            <w:r w:rsidR="00E354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розладами</w:t>
            </w:r>
            <w:r w:rsidR="00191B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D91751" w:rsidRDefault="00DE1D68" w:rsidP="00FE19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метою виконання функцій національного превентивного механізму</w:t>
            </w:r>
            <w:r w:rsidR="00B049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планується залучення до від</w:t>
            </w:r>
            <w:r w:rsidR="00CF60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відувань місць несвободи </w:t>
            </w:r>
            <w:r w:rsidR="00D917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фахівців у сфері охорони здоров’я, а саме лікарів-психіатрів.</w:t>
            </w:r>
          </w:p>
          <w:p w:rsidR="00F7625B" w:rsidRDefault="00BA5EE9" w:rsidP="00FE19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Перед фахівцями у сфері охорони здоров’я буде по</w:t>
            </w:r>
            <w:r w:rsidR="00F762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ставлено наступне коло завдань:</w:t>
            </w:r>
          </w:p>
          <w:p w:rsidR="00CE7451" w:rsidRDefault="00F7625B" w:rsidP="00F7625B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left="0" w:firstLine="24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  <w:r w:rsidRPr="00F762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часть </w:t>
            </w:r>
            <w:r w:rsidRPr="00F762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у відвідувані місць несвободи з </w:t>
            </w:r>
            <w:r w:rsidRPr="00F7625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метою виконання функцій національного превентивного механізму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F7625B" w:rsidRPr="004C4071" w:rsidRDefault="004C4071" w:rsidP="004C4071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left="0" w:firstLine="24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в</w:t>
            </w:r>
            <w:r w:rsidRPr="004C4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ивчення медичної документації, збір, накопичення, аналіз, узагальнення та використання будь-якої інформації стосовно поводжен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ня з особами у місцях несвободи;</w:t>
            </w:r>
          </w:p>
          <w:p w:rsidR="004C4071" w:rsidRDefault="00C77981" w:rsidP="004C4071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left="0" w:firstLine="24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779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перевірка умов для надання психіатричної допомоги, соціального захисту, соціальних послуг, спеціального навчання та правового захисту осіб, яким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надається психіатрична допомога;</w:t>
            </w:r>
          </w:p>
          <w:p w:rsidR="001C0E07" w:rsidRPr="001C0E07" w:rsidRDefault="005A1918" w:rsidP="001C0E07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left="0" w:firstLine="24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A19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організація та проведення опитування осіб, які перебувають у місцях несвободи, з метою отримання інформації стосовно поводження з ними та умов їх тримання, а також опитування осіб, як</w:t>
            </w:r>
            <w:r w:rsidR="001C0E0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і можуть надати таку інформацію;</w:t>
            </w:r>
          </w:p>
          <w:p w:rsidR="001C0E07" w:rsidRPr="001C0E07" w:rsidRDefault="001C0E07" w:rsidP="001C0E07">
            <w:pPr>
              <w:pStyle w:val="a7"/>
              <w:numPr>
                <w:ilvl w:val="0"/>
                <w:numId w:val="2"/>
              </w:numPr>
              <w:tabs>
                <w:tab w:val="left" w:pos="600"/>
              </w:tabs>
              <w:ind w:left="0" w:firstLine="24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C0E0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Оцінювання якості:</w:t>
            </w:r>
          </w:p>
          <w:p w:rsidR="00725B18" w:rsidRDefault="001C0E07" w:rsidP="001C0E07">
            <w:pPr>
              <w:pStyle w:val="a7"/>
              <w:numPr>
                <w:ilvl w:val="0"/>
                <w:numId w:val="5"/>
              </w:numPr>
              <w:ind w:left="33" w:firstLine="2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5B1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надання психіатричної допомоги особам, які утримуються у місцях несвободи, на основі принципів </w:t>
            </w:r>
            <w:r w:rsidRPr="00725B1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законності, гуманності, додержання прав людини і громадянина, добровільності, доступності та відповідно до сучасного рівня наукових знань, необхідності й достатності заходів лікування, медичної, психологічної та соціальної реабілітації, надання освітніх, соціальних послуг; </w:t>
            </w:r>
          </w:p>
          <w:p w:rsidR="00725B18" w:rsidRDefault="001C0E07" w:rsidP="001C0E07">
            <w:pPr>
              <w:pStyle w:val="a7"/>
              <w:numPr>
                <w:ilvl w:val="0"/>
                <w:numId w:val="5"/>
              </w:numPr>
              <w:ind w:left="33" w:firstLine="2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5B1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правомірності перебування підопічних/вихованців в установі відповідно до медичних висновків; </w:t>
            </w:r>
          </w:p>
          <w:p w:rsidR="00725B18" w:rsidRPr="00725B18" w:rsidRDefault="001C0E07" w:rsidP="001C0E07">
            <w:pPr>
              <w:pStyle w:val="a7"/>
              <w:numPr>
                <w:ilvl w:val="0"/>
                <w:numId w:val="5"/>
              </w:numPr>
              <w:ind w:left="33" w:firstLine="2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5B1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 безпеки надання психіатричної допомоги та запобігання небезпечним діянням з боку осіб, які страждають на психічні розлади;</w:t>
            </w:r>
            <w:r w:rsidRPr="00725B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725B18" w:rsidRPr="00725B18" w:rsidRDefault="001C0E07" w:rsidP="00725B18">
            <w:pPr>
              <w:pStyle w:val="a7"/>
              <w:numPr>
                <w:ilvl w:val="0"/>
                <w:numId w:val="5"/>
              </w:numPr>
              <w:ind w:left="33" w:firstLine="2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5B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психіатричною допомогою гарантованого рівня та іншою необхідною медичною допомогою;</w:t>
            </w:r>
          </w:p>
          <w:p w:rsidR="005A1918" w:rsidRPr="00725B18" w:rsidRDefault="001C0E07" w:rsidP="00725B18">
            <w:pPr>
              <w:pStyle w:val="a7"/>
              <w:numPr>
                <w:ilvl w:val="0"/>
                <w:numId w:val="5"/>
              </w:numPr>
              <w:ind w:left="33" w:firstLine="207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25B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умов праці фахівців та інших працівників, які беруть участь у наданні психіатричної допомоги, зокрема, доглядають за особами, яким надається психіатрична допомога</w:t>
            </w:r>
            <w:r w:rsidR="00B638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B66EC" w:rsidRPr="00B638D6" w:rsidRDefault="00B638D6" w:rsidP="00B638D6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Pr="00B638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адання консультацій Департаменту з питань реалізації національного превентивного механізму для забезпечення захисту прав осіб, які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перебувають у місцях несвободи;</w:t>
            </w:r>
          </w:p>
          <w:p w:rsidR="006302C9" w:rsidRPr="00B638D6" w:rsidRDefault="00B638D6" w:rsidP="00B638D6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B638D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ідготовка звіту і пропозицій (щодо усунення виявлених порушень та недоліків) за результатами відвідування місця несвободи.</w:t>
            </w:r>
          </w:p>
          <w:p w:rsidR="00094D09" w:rsidRPr="00FE1933" w:rsidRDefault="00094D09" w:rsidP="00FE193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0C2EA9" w:rsidRPr="00FE1933" w:rsidRDefault="000C2EA9" w:rsidP="008665BB">
      <w:pPr>
        <w:jc w:val="center"/>
        <w:rPr>
          <w:sz w:val="20"/>
          <w:szCs w:val="20"/>
          <w:lang w:val="uk-UA"/>
        </w:rPr>
      </w:pPr>
    </w:p>
    <w:tbl>
      <w:tblPr>
        <w:tblStyle w:val="a4"/>
        <w:tblW w:w="14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4"/>
        <w:gridCol w:w="3621"/>
      </w:tblGrid>
      <w:tr w:rsidR="00B2747A" w:rsidRPr="00FE1933" w:rsidTr="00B2747A">
        <w:trPr>
          <w:trHeight w:val="447"/>
        </w:trPr>
        <w:tc>
          <w:tcPr>
            <w:tcW w:w="10484" w:type="dxa"/>
          </w:tcPr>
          <w:p w:rsidR="00514275" w:rsidRPr="00FE1933" w:rsidRDefault="00514275" w:rsidP="005142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Директор Департаменту </w:t>
            </w:r>
          </w:p>
          <w:p w:rsidR="00514275" w:rsidRPr="00FE1933" w:rsidRDefault="00514275" w:rsidP="005142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 питань реалізації національного </w:t>
            </w:r>
          </w:p>
          <w:p w:rsidR="00B2747A" w:rsidRPr="00FE1933" w:rsidRDefault="00514275" w:rsidP="005142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превентивного механізму</w:t>
            </w:r>
          </w:p>
        </w:tc>
        <w:tc>
          <w:tcPr>
            <w:tcW w:w="3621" w:type="dxa"/>
          </w:tcPr>
          <w:p w:rsidR="00C2493B" w:rsidRPr="00FE1933" w:rsidRDefault="00B2747A" w:rsidP="0056416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</w:t>
            </w:r>
          </w:p>
          <w:p w:rsidR="00B2747A" w:rsidRPr="00FE1933" w:rsidRDefault="00514275" w:rsidP="0056416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E1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Артем ВОЛОДІН</w:t>
            </w:r>
          </w:p>
        </w:tc>
      </w:tr>
    </w:tbl>
    <w:p w:rsidR="00A802EE" w:rsidRPr="00FE1933" w:rsidRDefault="00A802EE" w:rsidP="000C2EA9">
      <w:pPr>
        <w:rPr>
          <w:sz w:val="20"/>
          <w:szCs w:val="20"/>
          <w:lang w:val="uk-UA"/>
        </w:rPr>
      </w:pPr>
    </w:p>
    <w:p w:rsidR="00A802EE" w:rsidRPr="00FE1933" w:rsidRDefault="00A802EE" w:rsidP="000C2EA9">
      <w:pPr>
        <w:rPr>
          <w:sz w:val="20"/>
          <w:szCs w:val="20"/>
          <w:lang w:val="uk-UA"/>
        </w:rPr>
      </w:pPr>
    </w:p>
    <w:p w:rsidR="00A802EE" w:rsidRPr="00FE1933" w:rsidRDefault="00A802EE" w:rsidP="000C2EA9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E1933">
        <w:rPr>
          <w:rFonts w:ascii="Times New Roman" w:hAnsi="Times New Roman" w:cs="Times New Roman"/>
          <w:sz w:val="20"/>
          <w:szCs w:val="20"/>
          <w:lang w:val="uk-UA"/>
        </w:rPr>
        <w:t>Дата оголошення про проведення конк</w:t>
      </w:r>
      <w:r w:rsidR="000E020F" w:rsidRPr="00FE1933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094D09" w:rsidRPr="00FE1933">
        <w:rPr>
          <w:rFonts w:ascii="Times New Roman" w:hAnsi="Times New Roman" w:cs="Times New Roman"/>
          <w:sz w:val="20"/>
          <w:szCs w:val="20"/>
          <w:lang w:val="uk-UA"/>
        </w:rPr>
        <w:t xml:space="preserve">рентної </w:t>
      </w:r>
      <w:r w:rsidR="00167D5A" w:rsidRPr="00FE1933">
        <w:rPr>
          <w:rFonts w:ascii="Times New Roman" w:hAnsi="Times New Roman" w:cs="Times New Roman"/>
          <w:sz w:val="20"/>
          <w:szCs w:val="20"/>
          <w:lang w:val="uk-UA"/>
        </w:rPr>
        <w:t xml:space="preserve">процедури </w:t>
      </w:r>
      <w:proofErr w:type="spellStart"/>
      <w:r w:rsidR="00167D5A" w:rsidRPr="00FE1933">
        <w:rPr>
          <w:rFonts w:ascii="Times New Roman" w:hAnsi="Times New Roman" w:cs="Times New Roman"/>
          <w:sz w:val="20"/>
          <w:szCs w:val="20"/>
          <w:lang w:val="uk-UA"/>
        </w:rPr>
        <w:t>закупівель</w:t>
      </w:r>
      <w:proofErr w:type="spellEnd"/>
      <w:r w:rsidR="00167D5A" w:rsidRPr="00FE1933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EA7741">
        <w:rPr>
          <w:rFonts w:ascii="Times New Roman" w:hAnsi="Times New Roman" w:cs="Times New Roman"/>
          <w:sz w:val="20"/>
          <w:szCs w:val="20"/>
          <w:lang w:val="uk-UA"/>
        </w:rPr>
        <w:t>06</w:t>
      </w:r>
      <w:r w:rsidR="00E33063" w:rsidRPr="00FE1933">
        <w:rPr>
          <w:rFonts w:ascii="Times New Roman" w:hAnsi="Times New Roman" w:cs="Times New Roman"/>
          <w:sz w:val="20"/>
          <w:szCs w:val="20"/>
          <w:lang w:val="uk-UA"/>
        </w:rPr>
        <w:t>.0</w:t>
      </w:r>
      <w:r w:rsidR="00EA7741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FE426E" w:rsidRPr="00FE1933">
        <w:rPr>
          <w:rFonts w:ascii="Times New Roman" w:hAnsi="Times New Roman" w:cs="Times New Roman"/>
          <w:sz w:val="20"/>
          <w:szCs w:val="20"/>
          <w:lang w:val="uk-UA"/>
        </w:rPr>
        <w:t>.202</w:t>
      </w:r>
      <w:r w:rsidR="00EA7741">
        <w:rPr>
          <w:rFonts w:ascii="Times New Roman" w:hAnsi="Times New Roman" w:cs="Times New Roman"/>
          <w:sz w:val="20"/>
          <w:szCs w:val="20"/>
          <w:lang w:val="uk-UA"/>
        </w:rPr>
        <w:t>6</w:t>
      </w:r>
    </w:p>
    <w:p w:rsidR="00A802EE" w:rsidRPr="00FE1933" w:rsidRDefault="00A802EE" w:rsidP="000C2EA9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FE1933">
        <w:rPr>
          <w:rFonts w:ascii="Times New Roman" w:hAnsi="Times New Roman" w:cs="Times New Roman"/>
          <w:sz w:val="20"/>
          <w:szCs w:val="20"/>
          <w:lang w:val="uk-UA"/>
        </w:rPr>
        <w:t xml:space="preserve">Номер оголошення про проведення конкурентної процедури </w:t>
      </w:r>
      <w:proofErr w:type="spellStart"/>
      <w:r w:rsidRPr="00FE1933">
        <w:rPr>
          <w:rFonts w:ascii="Times New Roman" w:hAnsi="Times New Roman" w:cs="Times New Roman"/>
          <w:sz w:val="20"/>
          <w:szCs w:val="20"/>
          <w:lang w:val="uk-UA"/>
        </w:rPr>
        <w:t>закупівель</w:t>
      </w:r>
      <w:proofErr w:type="spellEnd"/>
      <w:r w:rsidRPr="00FE1933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r w:rsidR="00EA7741" w:rsidRPr="00EA7741">
        <w:rPr>
          <w:rFonts w:ascii="Times New Roman" w:hAnsi="Times New Roman" w:cs="Times New Roman"/>
          <w:sz w:val="20"/>
          <w:szCs w:val="20"/>
          <w:lang w:val="uk-UA"/>
        </w:rPr>
        <w:t>UA-2026-05-06-014321-a</w:t>
      </w:r>
    </w:p>
    <w:sectPr w:rsidR="00A802EE" w:rsidRPr="00FE1933" w:rsidSect="006302C9">
      <w:pgSz w:w="15840" w:h="12240" w:orient="landscape"/>
      <w:pgMar w:top="4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484"/>
    <w:multiLevelType w:val="hybridMultilevel"/>
    <w:tmpl w:val="92EE341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91A"/>
    <w:multiLevelType w:val="hybridMultilevel"/>
    <w:tmpl w:val="75C44578"/>
    <w:lvl w:ilvl="0" w:tplc="41C8FC8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27F79"/>
    <w:multiLevelType w:val="hybridMultilevel"/>
    <w:tmpl w:val="176CD7E2"/>
    <w:lvl w:ilvl="0" w:tplc="C45EE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96488"/>
    <w:multiLevelType w:val="hybridMultilevel"/>
    <w:tmpl w:val="F3A49AA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B6256"/>
    <w:multiLevelType w:val="hybridMultilevel"/>
    <w:tmpl w:val="985EBB5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61661"/>
    <w:multiLevelType w:val="hybridMultilevel"/>
    <w:tmpl w:val="66BC911A"/>
    <w:lvl w:ilvl="0" w:tplc="C45EE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91"/>
    <w:rsid w:val="00023A6A"/>
    <w:rsid w:val="00073B86"/>
    <w:rsid w:val="00091DAC"/>
    <w:rsid w:val="00094D09"/>
    <w:rsid w:val="000C2EA9"/>
    <w:rsid w:val="000C7C14"/>
    <w:rsid w:val="000E020F"/>
    <w:rsid w:val="0011311D"/>
    <w:rsid w:val="001305EB"/>
    <w:rsid w:val="00167D5A"/>
    <w:rsid w:val="00191B64"/>
    <w:rsid w:val="001C0E07"/>
    <w:rsid w:val="001E4AE8"/>
    <w:rsid w:val="002709AF"/>
    <w:rsid w:val="002E5137"/>
    <w:rsid w:val="003173D3"/>
    <w:rsid w:val="00390491"/>
    <w:rsid w:val="003F066E"/>
    <w:rsid w:val="003F5ACE"/>
    <w:rsid w:val="0040264F"/>
    <w:rsid w:val="00495C71"/>
    <w:rsid w:val="004A48A5"/>
    <w:rsid w:val="004C4071"/>
    <w:rsid w:val="004E1BA8"/>
    <w:rsid w:val="00514275"/>
    <w:rsid w:val="00522768"/>
    <w:rsid w:val="005A1918"/>
    <w:rsid w:val="005B5B25"/>
    <w:rsid w:val="005B66EC"/>
    <w:rsid w:val="005C5405"/>
    <w:rsid w:val="005D5267"/>
    <w:rsid w:val="006302C9"/>
    <w:rsid w:val="006F656D"/>
    <w:rsid w:val="00725B18"/>
    <w:rsid w:val="007B26C9"/>
    <w:rsid w:val="007F5091"/>
    <w:rsid w:val="008167CE"/>
    <w:rsid w:val="008426F2"/>
    <w:rsid w:val="008665BB"/>
    <w:rsid w:val="00867A98"/>
    <w:rsid w:val="008A6DFB"/>
    <w:rsid w:val="008D4592"/>
    <w:rsid w:val="0090749D"/>
    <w:rsid w:val="00946980"/>
    <w:rsid w:val="009E7559"/>
    <w:rsid w:val="00A802EE"/>
    <w:rsid w:val="00A8400A"/>
    <w:rsid w:val="00B00C17"/>
    <w:rsid w:val="00B04912"/>
    <w:rsid w:val="00B2747A"/>
    <w:rsid w:val="00B44088"/>
    <w:rsid w:val="00B638D6"/>
    <w:rsid w:val="00B819AB"/>
    <w:rsid w:val="00BA5EE9"/>
    <w:rsid w:val="00BB146D"/>
    <w:rsid w:val="00C2493B"/>
    <w:rsid w:val="00C34D7E"/>
    <w:rsid w:val="00C77981"/>
    <w:rsid w:val="00CE7451"/>
    <w:rsid w:val="00CF60BE"/>
    <w:rsid w:val="00D0166A"/>
    <w:rsid w:val="00D05E7C"/>
    <w:rsid w:val="00D16CCB"/>
    <w:rsid w:val="00D91751"/>
    <w:rsid w:val="00DA697C"/>
    <w:rsid w:val="00DE1D68"/>
    <w:rsid w:val="00E33063"/>
    <w:rsid w:val="00E35435"/>
    <w:rsid w:val="00EA7741"/>
    <w:rsid w:val="00EB47CB"/>
    <w:rsid w:val="00ED423E"/>
    <w:rsid w:val="00EE50FC"/>
    <w:rsid w:val="00F4110A"/>
    <w:rsid w:val="00F53135"/>
    <w:rsid w:val="00F7625B"/>
    <w:rsid w:val="00F968EC"/>
    <w:rsid w:val="00FE1933"/>
    <w:rsid w:val="00FE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A922"/>
  <w15:chartTrackingRefBased/>
  <w15:docId w15:val="{29D0E6E1-E90A-4CD8-B2C4-00103979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665BB"/>
    <w:rPr>
      <w:i/>
      <w:iCs/>
    </w:rPr>
  </w:style>
  <w:style w:type="table" w:styleId="a4">
    <w:name w:val="Table Grid"/>
    <w:basedOn w:val="a1"/>
    <w:uiPriority w:val="39"/>
    <w:rsid w:val="0081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73B8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302C9"/>
    <w:pPr>
      <w:ind w:left="720"/>
      <w:contextualSpacing/>
    </w:pPr>
  </w:style>
  <w:style w:type="paragraph" w:styleId="a8">
    <w:name w:val="No Spacing"/>
    <w:uiPriority w:val="99"/>
    <w:qFormat/>
    <w:rsid w:val="001C0E07"/>
    <w:pPr>
      <w:spacing w:after="0" w:line="240" w:lineRule="auto"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B17150-607A-4D2A-9616-D001DD96C62F}">
  <we:reference id="wa104099688" version="1.3.0.0" store="uk-UA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2533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Гаркуша Євген Юрійович</dc:creator>
  <cp:keywords/>
  <dc:description/>
  <cp:lastModifiedBy>Бакланова Людмила Анатоліївна</cp:lastModifiedBy>
  <cp:revision>64</cp:revision>
  <cp:lastPrinted>2023-05-04T12:53:00Z</cp:lastPrinted>
  <dcterms:created xsi:type="dcterms:W3CDTF">2023-09-13T07:59:00Z</dcterms:created>
  <dcterms:modified xsi:type="dcterms:W3CDTF">2026-05-08T08:41:00Z</dcterms:modified>
</cp:coreProperties>
</file>